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90" w:before="0" w:after="113"/>
        <w:rPr>
          <w:rFonts w:ascii="Arial" w:hAnsi="Arial"/>
          <w:color w:val="333333"/>
        </w:rPr>
      </w:pPr>
      <w:r>
        <w:rPr>
          <w:rFonts w:ascii="Arial" w:hAnsi="Arial"/>
          <w:color w:val="333333"/>
        </w:rPr>
      </w:r>
    </w:p>
    <w:tbl>
      <w:tblPr>
        <w:jc w:val="left"/>
        <w:tblInd w:w="0" w:type="dxa"/>
        <w:tblBorders>
          <w:top w:val="nil"/>
          <w:left w:val="nil"/>
          <w:bottom w:val="nil"/>
          <w:insideH w:val="nil"/>
          <w:right w:val="nil"/>
          <w:insideV w:val="nil"/>
        </w:tblBorders>
        <w:tblCellMar>
          <w:top w:w="0" w:type="dxa"/>
          <w:left w:w="0" w:type="dxa"/>
          <w:bottom w:w="85" w:type="dxa"/>
          <w:right w:w="170" w:type="dxa"/>
        </w:tblCellMar>
      </w:tblPr>
      <w:tblGrid>
        <w:gridCol w:w="7600"/>
        <w:gridCol w:w="2770"/>
      </w:tblGrid>
      <w:tr>
        <w:trPr>
          <w:cantSplit w:val="false"/>
        </w:trPr>
        <w:tc>
          <w:tcPr>
            <w:tcW w:w="7600" w:type="dxa"/>
            <w:tcBorders>
              <w:top w:val="nil"/>
              <w:left w:val="nil"/>
              <w:bottom w:val="nil"/>
              <w:insideH w:val="nil"/>
              <w:right w:val="nil"/>
              <w:insideV w:val="nil"/>
            </w:tcBorders>
            <w:shd w:fill="FFFFFF" w:val="clear"/>
          </w:tcPr>
          <w:p>
            <w:pPr>
              <w:pStyle w:val="Normal"/>
              <w:spacing w:lineRule="auto" w:line="290" w:before="0" w:after="113"/>
              <w:rPr>
                <w:rFonts w:ascii="Arial" w:hAnsi="Arial"/>
                <w:color w:val="4C4C4C"/>
                <w:sz w:val="44"/>
                <w:szCs w:val="44"/>
              </w:rPr>
            </w:pPr>
            <w:r>
              <w:rPr>
                <w:rFonts w:ascii="Arial" w:hAnsi="Arial"/>
                <w:color w:val="4C4C4C"/>
                <w:sz w:val="44"/>
                <w:szCs w:val="44"/>
              </w:rPr>
              <w:t>Warum Teams faul sind</w:t>
            </w:r>
          </w:p>
          <w:p>
            <w:pPr>
              <w:pStyle w:val="Normal"/>
              <w:widowControl/>
              <w:suppressAutoHyphens w:val="false"/>
              <w:spacing w:lineRule="auto" w:line="290" w:before="0" w:after="113"/>
              <w:jc w:val="both"/>
              <w:rPr>
                <w:rFonts w:ascii="Arial" w:hAnsi="Arial"/>
                <w:color w:val="B3B3B3"/>
                <w:sz w:val="16"/>
                <w:szCs w:val="16"/>
              </w:rPr>
            </w:pPr>
            <w:r>
              <w:rPr>
                <w:rFonts w:ascii="Arial" w:hAnsi="Arial"/>
                <w:color w:val="B3B3B3"/>
                <w:sz w:val="16"/>
                <w:szCs w:val="16"/>
              </w:rPr>
              <w:t>Mit vereinzelten Änderungen aus: Dobelli, Rolf: Die Kunst des klaren Denkens. München 2011, S. 137 ff.</w:t>
            </w:r>
          </w:p>
        </w:tc>
        <w:tc>
          <w:tcPr>
            <w:tcW w:w="2770" w:type="dxa"/>
            <w:tcBorders>
              <w:top w:val="nil"/>
              <w:left w:val="single" w:sz="2" w:space="0" w:color="808080"/>
              <w:bottom w:val="nil"/>
              <w:insideH w:val="nil"/>
              <w:right w:val="nil"/>
              <w:insideV w:val="nil"/>
            </w:tcBorders>
            <w:shd w:fill="FFFFFF" w:val="clear"/>
            <w:tcMar>
              <w:left w:w="160" w:type="dxa"/>
              <w:right w:w="0" w:type="dxa"/>
            </w:tcMar>
          </w:tcPr>
          <w:p>
            <w:pPr>
              <w:pStyle w:val="TabellenInhalt"/>
              <w:rPr>
                <w:rFonts w:ascii="Arial" w:hAnsi="Arial"/>
                <w:color w:val="B3B3B3"/>
                <w:sz w:val="20"/>
                <w:szCs w:val="20"/>
              </w:rPr>
            </w:pPr>
            <w:r>
              <w:rPr>
                <w:rFonts w:ascii="Arial" w:hAnsi="Arial"/>
                <w:color w:val="B3B3B3"/>
                <w:sz w:val="20"/>
                <w:szCs w:val="20"/>
              </w:rPr>
            </w:r>
          </w:p>
        </w:tc>
      </w:tr>
      <w:tr>
        <w:trPr>
          <w:cantSplit w:val="false"/>
        </w:trPr>
        <w:tc>
          <w:tcPr>
            <w:tcW w:w="7600" w:type="dxa"/>
            <w:tcBorders>
              <w:top w:val="nil"/>
              <w:left w:val="nil"/>
              <w:bottom w:val="nil"/>
              <w:insideH w:val="nil"/>
              <w:right w:val="nil"/>
              <w:insideV w:val="nil"/>
            </w:tcBorders>
            <w:shd w:fill="FFFFFF" w:val="clear"/>
          </w:tcPr>
          <w:p>
            <w:pPr>
              <w:pStyle w:val="Normal"/>
              <w:widowControl/>
              <w:suppressAutoHyphens w:val="false"/>
              <w:spacing w:lineRule="auto" w:line="290" w:before="0" w:after="113"/>
              <w:jc w:val="both"/>
              <w:rPr>
                <w:rFonts w:ascii="Arial" w:hAnsi="Arial"/>
                <w:color w:val="333333"/>
                <w:sz w:val="22"/>
                <w:szCs w:val="22"/>
              </w:rPr>
            </w:pPr>
            <w:r>
              <w:rPr>
                <w:rFonts w:ascii="Arial" w:hAnsi="Arial"/>
                <w:b w:val="false"/>
                <w:smallCaps/>
                <w:color w:val="333333"/>
                <w:sz w:val="22"/>
                <w:szCs w:val="22"/>
              </w:rPr>
              <w:t>Maximilian Ringelmann</w:t>
            </w:r>
            <w:r>
              <w:rPr>
                <w:rFonts w:ascii="Arial" w:hAnsi="Arial"/>
                <w:color w:val="333333"/>
                <w:sz w:val="22"/>
                <w:szCs w:val="22"/>
              </w:rPr>
              <w:t>, ein französischer Ingenieur, untersuchte 1913 die Leistung von Pferden. Er fand heraus: Die Leistung zweier Zugtiere, die gemeinsam einer Kutsche vorgespannt werden, ist nicht doppelt so  hoch wie die Leistung eines einzelnen Pferds. Überrascht von diesem Ergebnis, dehnte er seine Untersuchung auf Menschen aus. Er ließ mehrere Männer an einem Tau ziehen und maß die Kraft, die jeder einzelne entfaltete. Im Durchschnitt investierten Personen, die zu zweit an einem Tau zogen, nur je 93% der Kraft eines einzelnen Tauzieher; wenn sie zu dritt zogen, waren es 85%, bei acht Personen nur noch 49%.</w:t>
            </w:r>
          </w:p>
        </w:tc>
        <w:tc>
          <w:tcPr>
            <w:tcW w:w="2770" w:type="dxa"/>
            <w:tcBorders>
              <w:top w:val="nil"/>
              <w:left w:val="single" w:sz="2" w:space="0" w:color="808080"/>
              <w:bottom w:val="nil"/>
              <w:insideH w:val="nil"/>
              <w:right w:val="nil"/>
              <w:insideV w:val="nil"/>
            </w:tcBorders>
            <w:shd w:fill="FFFFFF" w:val="clear"/>
            <w:tcMar>
              <w:left w:w="160" w:type="dxa"/>
              <w:right w:w="0" w:type="dxa"/>
            </w:tcMar>
          </w:tcPr>
          <w:p>
            <w:pPr>
              <w:pStyle w:val="TabellenInhalt"/>
              <w:spacing w:before="0" w:after="113"/>
              <w:rPr>
                <w:rFonts w:ascii="Arial" w:hAnsi="Arial"/>
                <w:color w:val="B3B3B3"/>
                <w:sz w:val="20"/>
                <w:szCs w:val="20"/>
              </w:rPr>
            </w:pPr>
            <w:r>
              <w:rPr>
                <w:rFonts w:ascii="Arial" w:hAnsi="Arial"/>
                <w:color w:val="B3B3B3"/>
                <w:sz w:val="20"/>
                <w:szCs w:val="20"/>
              </w:rPr>
              <w:t xml:space="preserve">2 Pferde </w:t>
              <w:br/>
              <w:t>leisten nicht das Doppelte</w:t>
            </w:r>
          </w:p>
        </w:tc>
      </w:tr>
      <w:tr>
        <w:trPr>
          <w:cantSplit w:val="false"/>
        </w:trPr>
        <w:tc>
          <w:tcPr>
            <w:tcW w:w="7600" w:type="dxa"/>
            <w:tcBorders>
              <w:top w:val="nil"/>
              <w:left w:val="nil"/>
              <w:bottom w:val="nil"/>
              <w:insideH w:val="nil"/>
              <w:right w:val="nil"/>
              <w:insideV w:val="nil"/>
            </w:tcBorders>
            <w:shd w:fill="FFFFFF" w:val="clear"/>
          </w:tcPr>
          <w:p>
            <w:pPr>
              <w:pStyle w:val="Normal"/>
              <w:widowControl/>
              <w:suppressAutoHyphens w:val="false"/>
              <w:spacing w:lineRule="auto" w:line="290" w:before="0" w:after="113"/>
              <w:jc w:val="both"/>
              <w:rPr>
                <w:rFonts w:ascii="Arial" w:hAnsi="Arial"/>
                <w:color w:val="333333"/>
                <w:sz w:val="22"/>
                <w:szCs w:val="22"/>
              </w:rPr>
            </w:pPr>
            <w:r>
              <w:rPr>
                <w:rFonts w:ascii="Arial" w:hAnsi="Arial"/>
                <w:color w:val="333333"/>
                <w:sz w:val="22"/>
                <w:szCs w:val="22"/>
              </w:rPr>
              <w:t xml:space="preserve">Außer Psychologen überrascht dieses Ergebnis niemanden. Unter Fachleuten heißt dieser Effekt </w:t>
            </w:r>
            <w:r>
              <w:rPr>
                <w:rFonts w:ascii="Arial" w:hAnsi="Arial"/>
                <w:i/>
                <w:color w:val="333333"/>
                <w:sz w:val="22"/>
                <w:szCs w:val="22"/>
              </w:rPr>
              <w:t>Social Loafing</w:t>
            </w:r>
            <w:r>
              <w:rPr>
                <w:rFonts w:ascii="Arial" w:hAnsi="Arial"/>
                <w:color w:val="333333"/>
                <w:sz w:val="22"/>
                <w:szCs w:val="22"/>
              </w:rPr>
              <w:t xml:space="preserve"> – dt. etwa: </w:t>
            </w:r>
            <w:r>
              <w:rPr>
                <w:rFonts w:eastAsia="Arial Unicode MS" w:cs="Lucida Sans" w:ascii="Arial" w:hAnsi="Arial"/>
                <w:i/>
                <w:color w:val="333333"/>
                <w:sz w:val="22"/>
                <w:szCs w:val="22"/>
                <w:lang w:val="de-DE" w:eastAsia="zh-CN" w:bidi="hi-IN"/>
              </w:rPr>
              <w:t>soziales Faulenzen</w:t>
            </w:r>
            <w:r>
              <w:rPr>
                <w:rFonts w:ascii="Arial" w:hAnsi="Arial"/>
                <w:color w:val="333333"/>
                <w:sz w:val="22"/>
                <w:szCs w:val="22"/>
              </w:rPr>
              <w:t xml:space="preserve">. Er tritt auf, wo die Leistung des Einzelnen nicht direkt sichtbar ist, sondern in die Gruppeleistung eingeht. Es gibt </w:t>
            </w:r>
            <w:r>
              <w:rPr>
                <w:rFonts w:eastAsia="Arial Unicode MS" w:cs="Lucida Sans" w:ascii="Arial" w:hAnsi="Arial"/>
                <w:i/>
                <w:color w:val="333333"/>
                <w:sz w:val="22"/>
                <w:szCs w:val="22"/>
                <w:lang w:val="de-DE" w:eastAsia="zh-CN" w:bidi="hi-IN"/>
              </w:rPr>
              <w:t>soziales Faulenzen</w:t>
            </w:r>
            <w:r>
              <w:rPr>
                <w:rFonts w:ascii="Arial" w:hAnsi="Arial"/>
                <w:color w:val="333333"/>
                <w:sz w:val="22"/>
                <w:szCs w:val="22"/>
              </w:rPr>
              <w:t xml:space="preserve"> bei Ruderern, nicht aber bei Stafettenläufern, weil hier die einzelnen Beiträge offenkundig sind. </w:t>
            </w:r>
            <w:r>
              <w:rPr>
                <w:rFonts w:eastAsia="Arial Unicode MS" w:cs="Lucida Sans" w:ascii="Arial" w:hAnsi="Arial"/>
                <w:i/>
                <w:color w:val="333333"/>
                <w:sz w:val="22"/>
                <w:szCs w:val="22"/>
                <w:lang w:val="de-DE" w:eastAsia="zh-CN" w:bidi="hi-IN"/>
              </w:rPr>
              <w:t>Soziales Faulenzen</w:t>
            </w:r>
            <w:r>
              <w:rPr>
                <w:rFonts w:ascii="Arial" w:hAnsi="Arial"/>
                <w:color w:val="333333"/>
                <w:sz w:val="22"/>
                <w:szCs w:val="22"/>
              </w:rPr>
              <w:t xml:space="preserve"> ist ein rationales Verhalten: Warum die volle Kraft investieren, wenn es auch mit der halben geht, ohne dass es auffällt? Kurzum, </w:t>
            </w:r>
            <w:r>
              <w:rPr>
                <w:rFonts w:eastAsia="Arial Unicode MS" w:cs="Lucida Sans" w:ascii="Arial" w:hAnsi="Arial"/>
                <w:i/>
                <w:color w:val="333333"/>
                <w:sz w:val="22"/>
                <w:szCs w:val="22"/>
                <w:lang w:val="de-DE" w:eastAsia="zh-CN" w:bidi="hi-IN"/>
              </w:rPr>
              <w:t>soziales Faulenzen</w:t>
            </w:r>
            <w:r>
              <w:rPr>
                <w:rFonts w:ascii="Arial" w:hAnsi="Arial"/>
                <w:color w:val="333333"/>
                <w:sz w:val="22"/>
                <w:szCs w:val="22"/>
              </w:rPr>
              <w:t xml:space="preserve"> ist eine Form von Betrug, der wir uns alle schon mal schuldig gemacht haben, sicher meist unbewusst.</w:t>
            </w:r>
          </w:p>
        </w:tc>
        <w:tc>
          <w:tcPr>
            <w:tcW w:w="2770" w:type="dxa"/>
            <w:tcBorders>
              <w:top w:val="nil"/>
              <w:left w:val="single" w:sz="2" w:space="0" w:color="808080"/>
              <w:bottom w:val="nil"/>
              <w:insideH w:val="nil"/>
              <w:right w:val="nil"/>
              <w:insideV w:val="nil"/>
            </w:tcBorders>
            <w:shd w:fill="FFFFFF" w:val="clear"/>
            <w:tcMar>
              <w:left w:w="160" w:type="dxa"/>
              <w:right w:w="0" w:type="dxa"/>
            </w:tcMar>
          </w:tcPr>
          <w:p>
            <w:pPr>
              <w:pStyle w:val="TabellenInhalt"/>
              <w:spacing w:before="0" w:after="113"/>
              <w:rPr>
                <w:rFonts w:ascii="Arial" w:hAnsi="Arial"/>
                <w:color w:val="B3B3B3"/>
                <w:sz w:val="20"/>
                <w:szCs w:val="20"/>
              </w:rPr>
            </w:pPr>
            <w:r>
              <w:rPr>
                <w:rFonts w:ascii="Arial" w:hAnsi="Arial"/>
                <w:color w:val="B3B3B3"/>
                <w:sz w:val="20"/>
                <w:szCs w:val="20"/>
              </w:rPr>
              <w:t>Soziales Faulenzen</w:t>
            </w:r>
          </w:p>
        </w:tc>
      </w:tr>
      <w:tr>
        <w:trPr>
          <w:cantSplit w:val="false"/>
        </w:trPr>
        <w:tc>
          <w:tcPr>
            <w:tcW w:w="7600" w:type="dxa"/>
            <w:tcBorders>
              <w:top w:val="nil"/>
              <w:left w:val="nil"/>
              <w:bottom w:val="nil"/>
              <w:insideH w:val="nil"/>
              <w:right w:val="nil"/>
              <w:insideV w:val="nil"/>
            </w:tcBorders>
            <w:shd w:fill="FFFFFF" w:val="clear"/>
          </w:tcPr>
          <w:p>
            <w:pPr>
              <w:pStyle w:val="Normal"/>
              <w:widowControl/>
              <w:suppressAutoHyphens w:val="false"/>
              <w:spacing w:lineRule="auto" w:line="290" w:before="0" w:after="113"/>
              <w:jc w:val="both"/>
              <w:rPr>
                <w:rFonts w:ascii="Arial" w:hAnsi="Arial"/>
                <w:color w:val="333333"/>
                <w:sz w:val="22"/>
                <w:szCs w:val="22"/>
              </w:rPr>
            </w:pPr>
            <w:r>
              <w:rPr>
                <w:rFonts w:ascii="Arial" w:hAnsi="Arial"/>
                <w:color w:val="333333"/>
                <w:sz w:val="22"/>
                <w:szCs w:val="22"/>
              </w:rPr>
              <w:t>Überraschend ist nicht, dass die individuelle Leistung zurückgeht, je mehr Leute an einem Strick ziehen. Überraschend ist, dass sie nicht auf Null fällt. Warum nicht totales Faulenzen? Weil die Nullleistung auffallen würde, mit allen Konsequenzen wie Ausschluss aus der Gruppe oder Rufschädigung. Wir haben ein feines Gespür entwickelt, bis zu welchem Grad das Faulenzen unsichtbar bleibt.</w:t>
            </w:r>
          </w:p>
        </w:tc>
        <w:tc>
          <w:tcPr>
            <w:tcW w:w="2770" w:type="dxa"/>
            <w:tcBorders>
              <w:top w:val="nil"/>
              <w:left w:val="single" w:sz="2" w:space="0" w:color="808080"/>
              <w:bottom w:val="nil"/>
              <w:insideH w:val="nil"/>
              <w:right w:val="nil"/>
              <w:insideV w:val="nil"/>
            </w:tcBorders>
            <w:shd w:fill="FFFFFF" w:val="clear"/>
            <w:tcMar>
              <w:left w:w="160" w:type="dxa"/>
              <w:right w:w="0" w:type="dxa"/>
            </w:tcMar>
          </w:tcPr>
          <w:p>
            <w:pPr>
              <w:pStyle w:val="TabellenInhalt"/>
              <w:spacing w:before="0" w:after="113"/>
              <w:rPr>
                <w:rFonts w:ascii="Arial" w:hAnsi="Arial"/>
                <w:color w:val="B3B3B3"/>
                <w:sz w:val="20"/>
                <w:szCs w:val="20"/>
              </w:rPr>
            </w:pPr>
            <w:r>
              <w:rPr>
                <w:rFonts w:ascii="Arial" w:hAnsi="Arial"/>
                <w:color w:val="B3B3B3"/>
                <w:sz w:val="20"/>
                <w:szCs w:val="20"/>
              </w:rPr>
              <w:t>Soziales Faulenzen</w:t>
              <w:br/>
              <w:t>nicht bis Null</w:t>
            </w:r>
          </w:p>
        </w:tc>
      </w:tr>
      <w:tr>
        <w:trPr>
          <w:cantSplit w:val="false"/>
        </w:trPr>
        <w:tc>
          <w:tcPr>
            <w:tcW w:w="7600" w:type="dxa"/>
            <w:tcBorders>
              <w:top w:val="nil"/>
              <w:left w:val="nil"/>
              <w:bottom w:val="nil"/>
              <w:insideH w:val="nil"/>
              <w:right w:val="nil"/>
              <w:insideV w:val="nil"/>
            </w:tcBorders>
            <w:shd w:fill="FFFFFF" w:val="clear"/>
          </w:tcPr>
          <w:p>
            <w:pPr>
              <w:pStyle w:val="Normal"/>
              <w:widowControl/>
              <w:suppressAutoHyphens w:val="false"/>
              <w:spacing w:lineRule="auto" w:line="290" w:before="0" w:after="113"/>
              <w:jc w:val="both"/>
              <w:rPr>
                <w:rFonts w:ascii="Arial" w:hAnsi="Arial"/>
                <w:color w:val="333333"/>
                <w:sz w:val="22"/>
                <w:szCs w:val="22"/>
              </w:rPr>
            </w:pPr>
            <w:r>
              <w:rPr>
                <w:rFonts w:eastAsia="Arial Unicode MS" w:cs="Lucida Sans" w:ascii="Arial" w:hAnsi="Arial"/>
                <w:i/>
                <w:color w:val="333333"/>
                <w:sz w:val="22"/>
                <w:szCs w:val="22"/>
                <w:lang w:val="de-DE" w:eastAsia="zh-CN" w:bidi="hi-IN"/>
              </w:rPr>
              <w:t>Soziales Faulenzen</w:t>
            </w:r>
            <w:r>
              <w:rPr>
                <w:rFonts w:ascii="Arial" w:hAnsi="Arial"/>
                <w:color w:val="333333"/>
                <w:sz w:val="22"/>
                <w:szCs w:val="22"/>
              </w:rPr>
              <w:t xml:space="preserve"> kommt nicht nur bei körperlichen Leistungen vor. Auch geistig faulenzen wir, zum Beispiel in Gruppenarbeit. Je größer die Gruppe, desto schwächer unsere eigene Beteiligung. Bei einer gewissen Gruppengröße erreicht die Leistung ein Niveau, das nicht weiter sinkt. Ob die Gruppe aus 20 oder 100 Leuten besteht, spielt keine Rolle mehr, der maximale Faulenz-Grad ist erreicht. […]</w:t>
            </w:r>
          </w:p>
        </w:tc>
        <w:tc>
          <w:tcPr>
            <w:tcW w:w="2770" w:type="dxa"/>
            <w:tcBorders>
              <w:top w:val="nil"/>
              <w:left w:val="single" w:sz="2" w:space="0" w:color="808080"/>
              <w:bottom w:val="nil"/>
              <w:insideH w:val="nil"/>
              <w:right w:val="nil"/>
              <w:insideV w:val="nil"/>
            </w:tcBorders>
            <w:shd w:fill="FFFFFF" w:val="clear"/>
            <w:tcMar>
              <w:left w:w="160" w:type="dxa"/>
              <w:right w:w="0" w:type="dxa"/>
            </w:tcMar>
          </w:tcPr>
          <w:p>
            <w:pPr>
              <w:pStyle w:val="TabellenInhalt"/>
              <w:spacing w:before="0" w:after="113"/>
              <w:rPr>
                <w:rFonts w:ascii="Arial" w:hAnsi="Arial"/>
                <w:color w:val="B3B3B3"/>
                <w:sz w:val="20"/>
                <w:szCs w:val="20"/>
              </w:rPr>
            </w:pPr>
            <w:r>
              <w:rPr>
                <w:rFonts w:ascii="Arial" w:hAnsi="Arial"/>
                <w:color w:val="B3B3B3"/>
                <w:sz w:val="20"/>
                <w:szCs w:val="20"/>
              </w:rPr>
              <w:t>in einer Gruppe</w:t>
              <w:br/>
              <w:t>auch geistiges Faulenzen</w:t>
            </w:r>
          </w:p>
          <w:p>
            <w:pPr>
              <w:pStyle w:val="TabellenInhalt"/>
              <w:spacing w:before="0" w:after="113"/>
              <w:rPr>
                <w:rFonts w:ascii="Arial" w:hAnsi="Arial"/>
                <w:color w:val="B3B3B3"/>
                <w:sz w:val="20"/>
                <w:szCs w:val="20"/>
              </w:rPr>
            </w:pPr>
            <w:r>
              <w:rPr>
                <w:rFonts w:ascii="Arial" w:hAnsi="Arial"/>
                <w:color w:val="B3B3B3"/>
                <w:sz w:val="20"/>
                <w:szCs w:val="20"/>
              </w:rPr>
            </w:r>
          </w:p>
          <w:p>
            <w:pPr>
              <w:pStyle w:val="TabellenInhalt"/>
              <w:spacing w:before="0" w:after="113"/>
              <w:rPr>
                <w:rFonts w:ascii="Arial" w:hAnsi="Arial"/>
                <w:color w:val="B3B3B3"/>
                <w:sz w:val="20"/>
                <w:szCs w:val="20"/>
              </w:rPr>
            </w:pPr>
            <w:r>
              <w:rPr>
                <w:rFonts w:ascii="Arial" w:hAnsi="Arial"/>
                <w:color w:val="B3B3B3"/>
                <w:sz w:val="20"/>
                <w:szCs w:val="20"/>
              </w:rPr>
              <w:t>je größer die Gruppe,</w:t>
              <w:br/>
              <w:t>desto fauler</w:t>
            </w:r>
          </w:p>
        </w:tc>
      </w:tr>
      <w:tr>
        <w:trPr>
          <w:cantSplit w:val="false"/>
        </w:trPr>
        <w:tc>
          <w:tcPr>
            <w:tcW w:w="7600" w:type="dxa"/>
            <w:tcBorders>
              <w:top w:val="nil"/>
              <w:left w:val="nil"/>
              <w:bottom w:val="nil"/>
              <w:insideH w:val="nil"/>
              <w:right w:val="nil"/>
              <w:insideV w:val="nil"/>
            </w:tcBorders>
            <w:shd w:fill="FFFFFF" w:val="clear"/>
          </w:tcPr>
          <w:p>
            <w:pPr>
              <w:pStyle w:val="Normal"/>
              <w:widowControl/>
              <w:suppressAutoHyphens w:val="false"/>
              <w:spacing w:lineRule="auto" w:line="290" w:before="0" w:after="113"/>
              <w:jc w:val="both"/>
              <w:rPr>
                <w:rFonts w:ascii="Arial" w:hAnsi="Arial"/>
                <w:color w:val="333333"/>
                <w:sz w:val="22"/>
                <w:szCs w:val="22"/>
              </w:rPr>
            </w:pPr>
            <w:r>
              <w:rPr>
                <w:rFonts w:eastAsia="Arial Unicode MS" w:cs="Lucida Sans" w:ascii="Arial" w:hAnsi="Arial"/>
                <w:i/>
                <w:color w:val="333333"/>
                <w:sz w:val="22"/>
                <w:szCs w:val="22"/>
                <w:lang w:val="de-DE" w:eastAsia="zh-CN" w:bidi="hi-IN"/>
              </w:rPr>
              <w:t>Soziales Faulenzen</w:t>
            </w:r>
            <w:r>
              <w:rPr>
                <w:rFonts w:ascii="Arial" w:hAnsi="Arial"/>
                <w:color w:val="333333"/>
                <w:sz w:val="22"/>
                <w:szCs w:val="22"/>
              </w:rPr>
              <w:t xml:space="preserve"> hat interessante Auswirkungen. In Gruppen halten wir uns nicht nur mit Leistungen zurück, sondern auch mit Verantwortung. Niemand will schuld an schlechten Ergebnissen sein […]. Man versteckt sich hinter den Beschlüssen der Gruppe. Der Fachbegriff dafür lautet </w:t>
            </w:r>
            <w:r>
              <w:rPr>
                <w:rFonts w:eastAsia="Arial Unicode MS" w:cs="Lucida Sans" w:ascii="Arial" w:hAnsi="Arial"/>
                <w:i/>
                <w:color w:val="333333"/>
                <w:sz w:val="22"/>
                <w:szCs w:val="22"/>
                <w:lang w:val="de-DE" w:eastAsia="zh-CN" w:bidi="hi-IN"/>
              </w:rPr>
              <w:t>Verantwortungsdiffussion</w:t>
            </w:r>
            <w:r>
              <w:rPr>
                <w:rFonts w:ascii="Arial" w:hAnsi="Arial"/>
                <w:color w:val="333333"/>
                <w:sz w:val="22"/>
                <w:szCs w:val="22"/>
              </w:rPr>
              <w:t>.</w:t>
            </w:r>
            <w:bookmarkStart w:id="0" w:name="__DdeLink__38_190281014111"/>
            <w:bookmarkEnd w:id="0"/>
            <w:r>
              <w:rPr>
                <w:rFonts w:ascii="Arial" w:hAnsi="Arial"/>
                <w:color w:val="333333"/>
                <w:sz w:val="22"/>
                <w:szCs w:val="22"/>
              </w:rPr>
              <w:t xml:space="preserve">  […]</w:t>
            </w:r>
          </w:p>
        </w:tc>
        <w:tc>
          <w:tcPr>
            <w:tcW w:w="2770" w:type="dxa"/>
            <w:tcBorders>
              <w:top w:val="nil"/>
              <w:left w:val="single" w:sz="2" w:space="0" w:color="808080"/>
              <w:bottom w:val="nil"/>
              <w:insideH w:val="nil"/>
              <w:right w:val="nil"/>
              <w:insideV w:val="nil"/>
            </w:tcBorders>
            <w:shd w:fill="FFFFFF" w:val="clear"/>
            <w:tcMar>
              <w:left w:w="160" w:type="dxa"/>
              <w:right w:w="0" w:type="dxa"/>
            </w:tcMar>
          </w:tcPr>
          <w:p>
            <w:pPr>
              <w:pStyle w:val="TabellenInhalt"/>
              <w:spacing w:before="0" w:after="113"/>
              <w:rPr>
                <w:rFonts w:eastAsia="Arial Unicode MS" w:cs="Lucida Sans" w:ascii="Arial" w:hAnsi="Arial"/>
                <w:color w:val="B3B3B3"/>
                <w:sz w:val="20"/>
                <w:szCs w:val="20"/>
                <w:lang w:val="de-DE" w:eastAsia="zh-CN" w:bidi="hi-IN"/>
              </w:rPr>
            </w:pPr>
            <w:r>
              <w:rPr>
                <w:rFonts w:eastAsia="Arial Unicode MS" w:cs="Lucida Sans" w:ascii="Arial" w:hAnsi="Arial"/>
                <w:color w:val="B3B3B3"/>
                <w:sz w:val="20"/>
                <w:szCs w:val="20"/>
                <w:lang w:val="de-DE" w:eastAsia="zh-CN" w:bidi="hi-IN"/>
              </w:rPr>
              <w:t>in Gruppen wird weniger</w:t>
              <w:br/>
              <w:t>Verantwortung übernommen</w:t>
            </w:r>
          </w:p>
        </w:tc>
      </w:tr>
      <w:tr>
        <w:trPr>
          <w:cantSplit w:val="false"/>
        </w:trPr>
        <w:tc>
          <w:tcPr>
            <w:tcW w:w="7600" w:type="dxa"/>
            <w:tcBorders>
              <w:top w:val="nil"/>
              <w:left w:val="nil"/>
              <w:bottom w:val="nil"/>
              <w:insideH w:val="nil"/>
              <w:right w:val="nil"/>
              <w:insideV w:val="nil"/>
            </w:tcBorders>
            <w:shd w:fill="FFFFFF" w:val="clear"/>
          </w:tcPr>
          <w:p>
            <w:pPr>
              <w:pStyle w:val="Normal"/>
              <w:widowControl/>
              <w:suppressAutoHyphens w:val="false"/>
              <w:spacing w:lineRule="auto" w:line="290" w:before="0" w:after="113"/>
              <w:jc w:val="both"/>
              <w:rPr>
                <w:rFonts w:ascii="Arial" w:hAnsi="Arial"/>
                <w:color w:val="333333"/>
                <w:sz w:val="22"/>
                <w:szCs w:val="22"/>
              </w:rPr>
            </w:pPr>
            <w:r>
              <w:rPr>
                <w:rFonts w:ascii="Arial" w:hAnsi="Arial"/>
                <w:color w:val="333333"/>
                <w:sz w:val="22"/>
                <w:szCs w:val="22"/>
              </w:rPr>
              <w:t>Fazit: Menschen verhalten sich anders in Gruppen als wenn sie allein sind (sonst gäbe es keine Gruppen). Die Nachteile von Gruppen lassen sich entschärfen, indem die individuellen Leistungen klar festgelegt und je einem Gruppenmitglied zugewiesen werden, offenkundig und abrechenbar.  […]</w:t>
            </w:r>
          </w:p>
          <w:p>
            <w:pPr>
              <w:pStyle w:val="Normal"/>
              <w:widowControl/>
              <w:suppressAutoHyphens w:val="false"/>
              <w:spacing w:lineRule="auto" w:line="290" w:before="0" w:after="113"/>
              <w:jc w:val="both"/>
              <w:rPr>
                <w:rFonts w:ascii="Arial" w:hAnsi="Arial"/>
                <w:color w:val="333333"/>
                <w:sz w:val="22"/>
                <w:szCs w:val="22"/>
              </w:rPr>
            </w:pPr>
            <w:r>
              <w:rPr>
                <w:rFonts w:ascii="Arial" w:hAnsi="Arial"/>
                <w:color w:val="333333"/>
                <w:sz w:val="22"/>
                <w:szCs w:val="22"/>
              </w:rPr>
            </w:r>
          </w:p>
        </w:tc>
        <w:tc>
          <w:tcPr>
            <w:tcW w:w="2770" w:type="dxa"/>
            <w:tcBorders>
              <w:top w:val="nil"/>
              <w:left w:val="single" w:sz="2" w:space="0" w:color="808080"/>
              <w:bottom w:val="nil"/>
              <w:insideH w:val="nil"/>
              <w:right w:val="nil"/>
              <w:insideV w:val="nil"/>
            </w:tcBorders>
            <w:shd w:fill="FFFFFF" w:val="clear"/>
            <w:tcMar>
              <w:left w:w="160" w:type="dxa"/>
              <w:right w:w="0" w:type="dxa"/>
            </w:tcMar>
          </w:tcPr>
          <w:p>
            <w:pPr>
              <w:pStyle w:val="TabellenInhalt"/>
              <w:spacing w:before="0" w:after="113"/>
              <w:rPr>
                <w:rFonts w:eastAsia="Arial Unicode MS" w:cs="Lucida Sans" w:ascii="Arial" w:hAnsi="Arial"/>
                <w:color w:val="B3B3B3"/>
                <w:sz w:val="20"/>
                <w:szCs w:val="20"/>
                <w:lang w:val="de-DE" w:eastAsia="zh-CN" w:bidi="hi-IN"/>
              </w:rPr>
            </w:pPr>
            <w:r>
              <w:rPr>
                <w:rFonts w:eastAsia="Arial Unicode MS" w:cs="Lucida Sans" w:ascii="Arial" w:hAnsi="Arial"/>
                <w:color w:val="B3B3B3"/>
                <w:sz w:val="20"/>
                <w:szCs w:val="20"/>
                <w:lang w:val="de-DE" w:eastAsia="zh-CN" w:bidi="hi-IN"/>
              </w:rPr>
            </w:r>
          </w:p>
          <w:p>
            <w:pPr>
              <w:pStyle w:val="TabellenInhalt"/>
              <w:spacing w:before="0" w:after="113"/>
              <w:rPr>
                <w:rFonts w:eastAsia="Arial Unicode MS" w:cs="Lucida Sans" w:ascii="Arial" w:hAnsi="Arial"/>
                <w:color w:val="333333"/>
                <w:sz w:val="20"/>
                <w:szCs w:val="20"/>
                <w:lang w:val="de-DE" w:eastAsia="zh-CN" w:bidi="hi-IN"/>
              </w:rPr>
            </w:pPr>
            <w:r>
              <w:rPr>
                <w:rFonts w:eastAsia="Arial Unicode MS" w:cs="Lucida Sans" w:ascii="Arial" w:hAnsi="Arial"/>
                <w:color w:val="B3B3B3"/>
                <w:sz w:val="20"/>
                <w:szCs w:val="20"/>
                <w:lang w:val="de-DE" w:eastAsia="zh-CN" w:bidi="hi-IN"/>
              </w:rPr>
              <w:t xml:space="preserve">dagegen tun:  </w:t>
            </w:r>
            <w:r>
              <w:rPr>
                <w:rFonts w:eastAsia="Arial Unicode MS" w:cs="Lucida Sans" w:ascii="Arial" w:hAnsi="Arial"/>
                <w:color w:val="333333"/>
                <w:sz w:val="20"/>
                <w:szCs w:val="20"/>
                <w:lang w:val="de-DE" w:eastAsia="zh-CN" w:bidi="hi-IN"/>
              </w:rPr>
              <w:t>Einzelbeiträge</w:t>
              <w:br/>
              <w:t>klar abgrenzen, offenkundig und abrechenbar machen</w:t>
            </w:r>
          </w:p>
          <w:p>
            <w:pPr>
              <w:pStyle w:val="TabellenInhalt"/>
              <w:spacing w:before="0" w:after="113"/>
              <w:rPr>
                <w:rFonts w:eastAsia="Arial Unicode MS" w:cs="Lucida Sans" w:ascii="Arial" w:hAnsi="Arial"/>
                <w:color w:val="333333"/>
                <w:sz w:val="20"/>
                <w:szCs w:val="20"/>
                <w:lang w:val="de-DE" w:eastAsia="zh-CN" w:bidi="hi-IN"/>
              </w:rPr>
            </w:pPr>
            <w:r>
              <w:rPr>
                <w:rFonts w:eastAsia="Arial Unicode MS" w:cs="Lucida Sans" w:ascii="Arial" w:hAnsi="Arial"/>
                <w:color w:val="333333"/>
                <w:sz w:val="20"/>
                <w:szCs w:val="20"/>
                <w:lang w:val="de-DE" w:eastAsia="zh-CN" w:bidi="hi-IN"/>
              </w:rPr>
              <w:t>keine gemeinsamen</w:t>
              <w:br/>
              <w:t>Verantwortlichkeiten</w:t>
            </w:r>
          </w:p>
        </w:tc>
      </w:tr>
    </w:tbl>
    <w:p>
      <w:pPr>
        <w:sectPr>
          <w:type w:val="nextPage"/>
          <w:pgSz w:w="11906" w:h="16838"/>
          <w:pgMar w:left="850" w:right="850" w:header="0" w:top="850" w:footer="0" w:bottom="850" w:gutter="0"/>
          <w:pgNumType w:fmt="decimal"/>
          <w:formProt w:val="false"/>
          <w:textDirection w:val="lrTb"/>
          <w:docGrid w:type="default" w:linePitch="240" w:charSpace="4294965247"/>
        </w:sectPr>
        <w:pStyle w:val="Normal"/>
        <w:widowControl/>
        <w:suppressAutoHyphens w:val="false"/>
        <w:spacing w:lineRule="auto" w:line="290" w:before="0" w:after="113"/>
        <w:rPr/>
      </w:pPr>
      <w:r>
        <w:rPr/>
      </w:r>
    </w:p>
    <w:p>
      <w:pPr>
        <w:pStyle w:val="Normal"/>
        <w:pageBreakBefore/>
        <w:rPr>
          <w:rFonts w:ascii="Arial" w:hAnsi="Arial"/>
          <w:color w:val="333333"/>
          <w:sz w:val="44"/>
          <w:szCs w:val="44"/>
        </w:rPr>
      </w:pPr>
      <w:r>
        <w:rPr>
          <w:rFonts w:ascii="Arial" w:hAnsi="Arial"/>
          <w:color w:val="333333"/>
          <w:sz w:val="44"/>
          <w:szCs w:val="44"/>
        </w:rPr>
        <w:t xml:space="preserve">14. </w:t>
      </w:r>
      <w:r>
        <w:rPr>
          <w:rFonts w:ascii="Arial" w:hAnsi="Arial"/>
          <w:color w:val="333333"/>
          <w:sz w:val="44"/>
          <w:szCs w:val="44"/>
        </w:rPr>
        <w:t>Arbeitsbereiche einer SFLeistung</w:t>
      </w:r>
    </w:p>
    <w:p>
      <w:pPr>
        <w:pStyle w:val="Normal"/>
        <w:rPr>
          <w:rFonts w:ascii="Arial" w:hAnsi="Arial"/>
          <w:color w:val="333333"/>
        </w:rPr>
      </w:pPr>
      <w:r>
        <w:rPr>
          <w:rFonts w:ascii="Arial" w:hAnsi="Arial"/>
          <w:color w:val="333333"/>
        </w:rPr>
      </w:r>
    </w:p>
    <w:tbl>
      <w:tblPr>
        <w:jc w:val="left"/>
        <w:tblInd w:w="170" w:type="dxa"/>
        <w:tblBorders>
          <w:top w:val="nil"/>
          <w:left w:val="nil"/>
          <w:bottom w:val="single" w:sz="4" w:space="0" w:color="808080"/>
          <w:insideH w:val="single" w:sz="4" w:space="0" w:color="808080"/>
          <w:right w:val="nil"/>
          <w:insideV w:val="nil"/>
        </w:tblBorders>
        <w:tblCellMar>
          <w:top w:w="170" w:type="dxa"/>
          <w:left w:w="170" w:type="dxa"/>
          <w:bottom w:w="170" w:type="dxa"/>
          <w:right w:w="170" w:type="dxa"/>
        </w:tblCellMar>
      </w:tblPr>
      <w:tblGrid>
        <w:gridCol w:w="1873"/>
        <w:gridCol w:w="5220"/>
        <w:gridCol w:w="508"/>
        <w:gridCol w:w="509"/>
        <w:gridCol w:w="508"/>
        <w:gridCol w:w="508"/>
        <w:gridCol w:w="509"/>
        <w:gridCol w:w="512"/>
      </w:tblGrid>
      <w:tr>
        <w:trPr>
          <w:cantSplit w:val="false"/>
        </w:trPr>
        <w:tc>
          <w:tcPr>
            <w:tcW w:w="1873" w:type="dxa"/>
            <w:tcBorders>
              <w:top w:val="nil"/>
              <w:left w:val="nil"/>
              <w:bottom w:val="single" w:sz="4" w:space="0" w:color="808080"/>
              <w:insideH w:val="single" w:sz="4" w:space="0" w:color="808080"/>
              <w:right w:val="nil"/>
              <w:insideV w:val="nil"/>
            </w:tcBorders>
            <w:shd w:fill="FFFFFF" w:val="clear"/>
          </w:tcPr>
          <w:p>
            <w:pPr>
              <w:pStyle w:val="Normal"/>
              <w:jc w:val="right"/>
              <w:rPr>
                <w:rFonts w:eastAsia="Arial Unicode MS" w:cs="Lucida Sans" w:ascii="Arial" w:hAnsi="Arial"/>
                <w:color w:val="333333"/>
                <w:sz w:val="28"/>
                <w:szCs w:val="28"/>
                <w:lang w:val="de-DE" w:eastAsia="zh-CN" w:bidi="hi-IN"/>
              </w:rPr>
            </w:pPr>
            <w:r>
              <w:rPr>
                <w:rFonts w:eastAsia="Arial Unicode MS" w:cs="Lucida Sans" w:ascii="Arial" w:hAnsi="Arial"/>
                <w:color w:val="333333"/>
                <w:sz w:val="28"/>
                <w:szCs w:val="28"/>
                <w:lang w:val="de-DE" w:eastAsia="zh-CN" w:bidi="hi-IN"/>
              </w:rPr>
            </w:r>
          </w:p>
          <w:p>
            <w:pPr>
              <w:pStyle w:val="Normal"/>
              <w:jc w:val="right"/>
              <w:rPr>
                <w:rFonts w:eastAsia="Arial Unicode MS" w:cs="Lucida Sans" w:ascii="Arial" w:hAnsi="Arial"/>
                <w:color w:val="333333"/>
                <w:sz w:val="28"/>
                <w:szCs w:val="28"/>
                <w:lang w:val="de-DE" w:eastAsia="zh-CN" w:bidi="hi-IN"/>
              </w:rPr>
            </w:pPr>
            <w:r>
              <w:rPr>
                <w:rFonts w:eastAsia="Arial Unicode MS" w:cs="Lucida Sans" w:ascii="Arial" w:hAnsi="Arial"/>
                <w:color w:val="333333"/>
                <w:sz w:val="28"/>
                <w:szCs w:val="28"/>
                <w:lang w:val="de-DE" w:eastAsia="zh-CN" w:bidi="hi-IN"/>
              </w:rPr>
            </w:r>
          </w:p>
          <w:p>
            <w:pPr>
              <w:pStyle w:val="Normal"/>
              <w:jc w:val="right"/>
              <w:rPr>
                <w:rFonts w:eastAsia="Arial Unicode MS" w:cs="Lucida Sans" w:ascii="Arial" w:hAnsi="Arial"/>
                <w:color w:val="333333"/>
                <w:sz w:val="28"/>
                <w:szCs w:val="28"/>
                <w:lang w:val="de-DE" w:eastAsia="zh-CN" w:bidi="hi-IN"/>
              </w:rPr>
            </w:pPr>
            <w:r>
              <w:rPr>
                <w:rFonts w:eastAsia="Arial Unicode MS" w:cs="Lucida Sans" w:ascii="Arial" w:hAnsi="Arial"/>
                <w:color w:val="333333"/>
                <w:sz w:val="28"/>
                <w:szCs w:val="28"/>
                <w:lang w:val="de-DE" w:eastAsia="zh-CN" w:bidi="hi-IN"/>
              </w:rPr>
            </w:r>
          </w:p>
        </w:tc>
        <w:tc>
          <w:tcPr>
            <w:tcW w:w="5220" w:type="dxa"/>
            <w:tcBorders>
              <w:top w:val="nil"/>
              <w:left w:val="nil"/>
              <w:bottom w:val="single" w:sz="4" w:space="0" w:color="808080"/>
              <w:insideH w:val="single" w:sz="4" w:space="0" w:color="808080"/>
              <w:right w:val="nil"/>
              <w:insideV w:val="nil"/>
            </w:tcBorders>
            <w:shd w:fill="FFFFFF" w:val="clear"/>
            <w:vAlign w:val="bottom"/>
          </w:tcPr>
          <w:p>
            <w:pPr>
              <w:pStyle w:val="Normal"/>
              <w:rPr>
                <w:rFonts w:eastAsia="Arial Unicode MS" w:cs="Lucida Sans" w:ascii="Arial" w:hAnsi="Arial"/>
                <w:color w:val="333333"/>
                <w:sz w:val="44"/>
                <w:szCs w:val="44"/>
                <w:lang w:val="de-DE" w:eastAsia="zh-CN" w:bidi="hi-IN"/>
              </w:rPr>
            </w:pPr>
            <w:r>
              <w:rPr>
                <w:rFonts w:eastAsia="Arial Unicode MS" w:cs="Lucida Sans" w:ascii="Arial" w:hAnsi="Arial"/>
                <w:color w:val="333333"/>
                <w:sz w:val="44"/>
                <w:szCs w:val="44"/>
                <w:lang w:val="de-DE" w:eastAsia="zh-CN" w:bidi="hi-IN"/>
              </w:rPr>
              <w:t>Einzelbeiträge:</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extDirection w:val="btLr"/>
            <w:vAlign w:val="center"/>
          </w:tcPr>
          <w:p>
            <w:pPr>
              <w:pStyle w:val="Normal"/>
              <w:jc w:val="center"/>
              <w:rPr>
                <w:rFonts w:ascii="Arial" w:hAnsi="Arial"/>
                <w:color w:val="999999"/>
              </w:rPr>
            </w:pPr>
            <w:r>
              <w:rPr>
                <w:rFonts w:ascii="Arial" w:hAnsi="Arial"/>
                <w:color w:val="999999"/>
              </w:rPr>
              <w:t>Ich</w:t>
            </w:r>
          </w:p>
        </w:tc>
        <w:tc>
          <w:tcPr>
            <w:tcW w:w="509" w:type="dxa"/>
            <w:tcBorders>
              <w:top w:val="nil"/>
              <w:left w:val="single" w:sz="4" w:space="0" w:color="808080"/>
              <w:bottom w:val="nil"/>
              <w:insideH w:val="nil"/>
              <w:right w:val="nil"/>
              <w:insideV w:val="nil"/>
            </w:tcBorders>
            <w:shd w:fill="FFFFFF" w:val="clear"/>
            <w:tcMar>
              <w:left w:w="150" w:type="dxa"/>
            </w:tcMar>
            <w:textDirection w:val="btLr"/>
            <w:vAlign w:val="center"/>
          </w:tcPr>
          <w:p>
            <w:pPr>
              <w:pStyle w:val="Normal"/>
              <w:jc w:val="center"/>
              <w:rPr>
                <w:rFonts w:ascii="Arial" w:hAnsi="Arial"/>
                <w:color w:val="999999"/>
              </w:rPr>
            </w:pPr>
            <w:r>
              <w:rPr>
                <w:rFonts w:ascii="Arial" w:hAnsi="Arial"/>
                <w:color w:val="999999"/>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extDirection w:val="btLr"/>
            <w:vAlign w:val="center"/>
          </w:tcPr>
          <w:p>
            <w:pPr>
              <w:pStyle w:val="Normal"/>
              <w:jc w:val="center"/>
              <w:rPr>
                <w:rFonts w:ascii="Arial" w:hAnsi="Arial"/>
                <w:color w:val="999999"/>
              </w:rPr>
            </w:pPr>
            <w:r>
              <w:rPr>
                <w:rFonts w:ascii="Arial" w:hAnsi="Arial"/>
                <w:color w:val="999999"/>
              </w:rPr>
              <w:t>Name 2</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extDirection w:val="btLr"/>
            <w:vAlign w:val="center"/>
          </w:tcPr>
          <w:p>
            <w:pPr>
              <w:pStyle w:val="Normal"/>
              <w:jc w:val="center"/>
              <w:rPr>
                <w:rFonts w:ascii="Arial" w:hAnsi="Arial"/>
                <w:color w:val="999999"/>
              </w:rPr>
            </w:pPr>
            <w:r>
              <w:rPr>
                <w:rFonts w:ascii="Arial" w:hAnsi="Arial"/>
                <w:color w:val="999999"/>
              </w:rPr>
              <w:t>Name 3</w:t>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extDirection w:val="btLr"/>
            <w:vAlign w:val="center"/>
          </w:tcPr>
          <w:p>
            <w:pPr>
              <w:pStyle w:val="Normal"/>
              <w:jc w:val="center"/>
              <w:rPr>
                <w:rFonts w:ascii="Arial" w:hAnsi="Arial"/>
                <w:color w:val="999999"/>
              </w:rPr>
            </w:pPr>
            <w:r>
              <w:rPr>
                <w:rFonts w:ascii="Arial" w:hAnsi="Arial"/>
                <w:color w:val="999999"/>
              </w:rPr>
              <w:t>Name 4</w:t>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extDirection w:val="btLr"/>
            <w:vAlign w:val="center"/>
          </w:tcPr>
          <w:p>
            <w:pPr>
              <w:pStyle w:val="Normal"/>
              <w:jc w:val="center"/>
              <w:rPr>
                <w:rFonts w:ascii="Arial" w:hAnsi="Arial"/>
                <w:color w:val="999999"/>
              </w:rPr>
            </w:pPr>
            <w:r>
              <w:rPr>
                <w:rFonts w:ascii="Arial" w:hAnsi="Arial"/>
                <w:color w:val="999999"/>
              </w:rPr>
              <w:t>Name 5</w:t>
            </w:r>
          </w:p>
        </w:tc>
      </w:tr>
      <w:tr>
        <w:trPr>
          <w:cantSplit w:val="false"/>
        </w:trPr>
        <w:tc>
          <w:tcPr>
            <w:tcW w:w="1873" w:type="dxa"/>
            <w:vMerge w:val="restart"/>
            <w:tcBorders>
              <w:top w:val="nil"/>
              <w:left w:val="nil"/>
              <w:bottom w:val="single" w:sz="4" w:space="0" w:color="808080"/>
              <w:insideH w:val="single" w:sz="4" w:space="0" w:color="808080"/>
              <w:right w:val="nil"/>
              <w:insideV w:val="nil"/>
            </w:tcBorders>
            <w:shd w:fill="FFFFFF" w:val="clear"/>
          </w:tcPr>
          <w:p>
            <w:pPr>
              <w:pStyle w:val="Normal"/>
              <w:jc w:val="right"/>
              <w:rPr>
                <w:rFonts w:ascii="Arial" w:hAnsi="Arial"/>
                <w:color w:val="333333"/>
                <w:sz w:val="28"/>
                <w:szCs w:val="28"/>
              </w:rPr>
            </w:pPr>
            <w:r>
              <w:rPr>
                <w:rFonts w:ascii="Arial" w:hAnsi="Arial"/>
                <w:color w:val="333333"/>
                <w:sz w:val="28"/>
                <w:szCs w:val="28"/>
              </w:rPr>
              <w:t>Thema bearbeiten</w:t>
            </w:r>
          </w:p>
          <w:p>
            <w:pPr>
              <w:pStyle w:val="Normal"/>
              <w:jc w:val="right"/>
              <w:rPr>
                <w:rFonts w:ascii="Arial" w:hAnsi="Arial"/>
                <w:color w:val="333333"/>
                <w:sz w:val="28"/>
                <w:szCs w:val="28"/>
              </w:rPr>
            </w:pPr>
            <w:r>
              <w:rPr>
                <w:rFonts w:ascii="Arial" w:hAnsi="Arial"/>
                <w:color w:val="333333"/>
                <w:sz w:val="28"/>
                <w:szCs w:val="28"/>
              </w:rPr>
              <w:t>Kl. 12</w:t>
            </w:r>
          </w:p>
        </w:tc>
        <w:tc>
          <w:tcPr>
            <w:tcW w:w="5220" w:type="dxa"/>
            <w:tcBorders>
              <w:top w:val="nil"/>
              <w:left w:val="nil"/>
              <w:bottom w:val="single" w:sz="4" w:space="0" w:color="808080"/>
              <w:insideH w:val="single" w:sz="4" w:space="0" w:color="808080"/>
              <w:right w:val="nil"/>
              <w:insideV w:val="nil"/>
            </w:tcBorders>
            <w:shd w:fill="FFFFFF" w:val="clear"/>
          </w:tcPr>
          <w:p>
            <w:pPr>
              <w:pStyle w:val="Normal"/>
              <w:rPr>
                <w:rFonts w:ascii="Arial" w:hAnsi="Arial"/>
                <w:color w:val="333333"/>
                <w:sz w:val="28"/>
                <w:szCs w:val="28"/>
              </w:rPr>
            </w:pPr>
            <w:r>
              <w:rPr>
                <w:rFonts w:ascii="Arial" w:hAnsi="Arial"/>
                <w:color w:val="333333"/>
                <w:sz w:val="28"/>
                <w:szCs w:val="28"/>
              </w:rPr>
              <w:t>Arbeitsplan erstellen</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Normal"/>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Normal"/>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Normal"/>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Normal"/>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Normal"/>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Normal"/>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Dokumente führen</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Ggf. Moderieren</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Quellenarbeit</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Zwischenverteidigung, Rhetorik …</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Strukturieren, Gliederungen</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color w:val="333333"/>
              </w:rPr>
            </w:pPr>
            <w:r>
              <w:rPr>
                <w:color w:val="333333"/>
              </w:rPr>
              <w:t>…</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restart"/>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t>SFArbeit</w:t>
            </w:r>
          </w:p>
          <w:p>
            <w:pPr>
              <w:pStyle w:val="TabellenInhalt"/>
              <w:jc w:val="right"/>
              <w:rPr>
                <w:rFonts w:ascii="Arial" w:hAnsi="Arial"/>
                <w:color w:val="333333"/>
                <w:sz w:val="28"/>
                <w:szCs w:val="28"/>
              </w:rPr>
            </w:pPr>
            <w:r>
              <w:rPr>
                <w:rFonts w:ascii="Arial" w:hAnsi="Arial"/>
                <w:color w:val="333333"/>
                <w:sz w:val="28"/>
                <w:szCs w:val="28"/>
              </w:rPr>
              <w:t>Kl. 13</w:t>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Texten</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Layouten und Paginierung</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Visualisierungen einbinden</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Quellenverweise und –angaben</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Anhang</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Vervielfältigung</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color w:val="333333"/>
              </w:rPr>
            </w:pPr>
            <w:r>
              <w:rPr>
                <w:color w:val="333333"/>
              </w:rPr>
              <w:t>…</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restart"/>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t>Kolloquium</w:t>
            </w:r>
          </w:p>
          <w:p>
            <w:pPr>
              <w:pStyle w:val="TabellenInhalt"/>
              <w:jc w:val="right"/>
              <w:rPr>
                <w:rFonts w:ascii="Arial" w:hAnsi="Arial"/>
                <w:color w:val="333333"/>
                <w:sz w:val="28"/>
                <w:szCs w:val="28"/>
              </w:rPr>
            </w:pPr>
            <w:r>
              <w:rPr>
                <w:rFonts w:ascii="Arial" w:hAnsi="Arial"/>
                <w:color w:val="333333"/>
                <w:sz w:val="28"/>
                <w:szCs w:val="28"/>
              </w:rPr>
              <w:t>Kl. 13</w:t>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Inszenierung, Einstieg und …</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Texte, Moderationskarten</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Visualisierungen</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rFonts w:ascii="Arial" w:hAnsi="Arial"/>
                <w:color w:val="333333"/>
                <w:sz w:val="28"/>
                <w:szCs w:val="28"/>
              </w:rPr>
            </w:pPr>
            <w:r>
              <w:rPr>
                <w:rFonts w:ascii="Arial" w:hAnsi="Arial"/>
                <w:color w:val="333333"/>
                <w:sz w:val="28"/>
                <w:szCs w:val="28"/>
              </w:rPr>
              <w:t>Generalprobe, Rhetorik …</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r>
        <w:trPr>
          <w:cantSplit w:val="false"/>
        </w:trPr>
        <w:tc>
          <w:tcPr>
            <w:tcW w:w="1873" w:type="dxa"/>
            <w:vMerge w:val="continue"/>
            <w:tcBorders>
              <w:top w:val="nil"/>
              <w:left w:val="nil"/>
              <w:bottom w:val="single" w:sz="4" w:space="0" w:color="808080"/>
              <w:insideH w:val="single" w:sz="4" w:space="0" w:color="808080"/>
              <w:right w:val="nil"/>
              <w:insideV w:val="nil"/>
            </w:tcBorders>
            <w:shd w:fill="FFFFFF" w:val="clear"/>
          </w:tcPr>
          <w:p>
            <w:pPr>
              <w:pStyle w:val="TabellenInhalt"/>
              <w:jc w:val="right"/>
              <w:rPr>
                <w:rFonts w:ascii="Arial" w:hAnsi="Arial"/>
                <w:color w:val="333333"/>
                <w:sz w:val="28"/>
                <w:szCs w:val="28"/>
              </w:rPr>
            </w:pPr>
            <w:r>
              <w:rPr>
                <w:rFonts w:ascii="Arial" w:hAnsi="Arial"/>
                <w:color w:val="333333"/>
                <w:sz w:val="28"/>
                <w:szCs w:val="28"/>
              </w:rPr>
            </w:r>
          </w:p>
        </w:tc>
        <w:tc>
          <w:tcPr>
            <w:tcW w:w="5220" w:type="dxa"/>
            <w:tcBorders>
              <w:top w:val="nil"/>
              <w:left w:val="nil"/>
              <w:bottom w:val="single" w:sz="4" w:space="0" w:color="808080"/>
              <w:insideH w:val="single" w:sz="4" w:space="0" w:color="808080"/>
              <w:right w:val="nil"/>
              <w:insideV w:val="nil"/>
            </w:tcBorders>
            <w:shd w:fill="FFFFFF" w:val="clear"/>
          </w:tcPr>
          <w:p>
            <w:pPr>
              <w:pStyle w:val="TabellenInhalt"/>
              <w:rPr>
                <w:color w:val="333333"/>
              </w:rPr>
            </w:pPr>
            <w:r>
              <w:rPr>
                <w:color w:val="333333"/>
              </w:rPr>
              <w:t>…</w:t>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nil"/>
              <w:insideH w:val="nil"/>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8"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09" w:type="dxa"/>
            <w:tcBorders>
              <w:top w:val="nil"/>
              <w:left w:val="single" w:sz="4" w:space="0" w:color="808080"/>
              <w:bottom w:val="single" w:sz="4" w:space="0" w:color="808080"/>
              <w:insideH w:val="single" w:sz="4" w:space="0" w:color="808080"/>
              <w:right w:val="nil"/>
              <w:insideV w:val="nil"/>
            </w:tcBorders>
            <w:shd w:fill="FFFFFF" w:val="clear"/>
            <w:tcMar>
              <w:left w:w="150" w:type="dxa"/>
            </w:tcMar>
          </w:tcPr>
          <w:p>
            <w:pPr>
              <w:pStyle w:val="TabellenInhalt"/>
              <w:rPr>
                <w:rFonts w:ascii="Arial" w:hAnsi="Arial"/>
                <w:color w:val="333333"/>
              </w:rPr>
            </w:pPr>
            <w:r>
              <w:rPr>
                <w:rFonts w:ascii="Arial" w:hAnsi="Arial"/>
                <w:color w:val="333333"/>
              </w:rPr>
            </w:r>
          </w:p>
        </w:tc>
        <w:tc>
          <w:tcPr>
            <w:tcW w:w="512" w:type="dxa"/>
            <w:tcBorders>
              <w:top w:val="nil"/>
              <w:left w:val="single" w:sz="4" w:space="0" w:color="808080"/>
              <w:bottom w:val="single" w:sz="4" w:space="0" w:color="808080"/>
              <w:insideH w:val="single" w:sz="4" w:space="0" w:color="808080"/>
              <w:right w:val="single" w:sz="4" w:space="0" w:color="808080"/>
              <w:insideV w:val="single" w:sz="4" w:space="0" w:color="808080"/>
            </w:tcBorders>
            <w:shd w:fill="FFFFFF" w:val="clear"/>
            <w:tcMar>
              <w:left w:w="150" w:type="dxa"/>
            </w:tcMar>
          </w:tcPr>
          <w:p>
            <w:pPr>
              <w:pStyle w:val="TabellenInhalt"/>
              <w:rPr>
                <w:rFonts w:ascii="Arial" w:hAnsi="Arial"/>
                <w:color w:val="333333"/>
              </w:rPr>
            </w:pPr>
            <w:r>
              <w:rPr>
                <w:rFonts w:ascii="Arial" w:hAnsi="Arial"/>
                <w:color w:val="333333"/>
              </w:rPr>
            </w:r>
          </w:p>
        </w:tc>
      </w:tr>
    </w:tbl>
    <w:p>
      <w:pPr>
        <w:pStyle w:val="Normal"/>
        <w:widowControl/>
        <w:suppressAutoHyphens w:val="false"/>
        <w:spacing w:lineRule="auto" w:line="290" w:before="0" w:after="113"/>
        <w:rPr/>
      </w:pPr>
      <w:r>
        <w:rPr/>
      </w:r>
    </w:p>
    <w:sectPr>
      <w:type w:val="nextPage"/>
      <w:pgSz w:w="11906" w:h="16838"/>
      <w:pgMar w:left="850" w:right="850" w:header="0" w:top="850" w:footer="0" w:bottom="85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Arial">
    <w:charset w:val="01"/>
    <w:family w:val="auto"/>
    <w:pitch w:val="default"/>
  </w:font>
</w:fonts>
</file>

<file path=word/settings.xml><?xml version="1.0" encoding="utf-8"?>
<w:settings xmlns:w="http://schemas.openxmlformats.org/wordprocessingml/2006/main">
  <w:zoom w:percent="50"/>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bidi w:val="0"/>
      <w:jc w:val="left"/>
    </w:pPr>
    <w:rPr>
      <w:rFonts w:ascii="Akkurat-Light" w:hAnsi="Akkurat-Light" w:eastAsia="Arial Unicode MS" w:cs="Lucida Sans"/>
      <w:color w:val="00000A"/>
      <w:sz w:val="22"/>
      <w:szCs w:val="24"/>
      <w:lang w:val="de-DE" w:eastAsia="zh-CN" w:bidi="hi-IN"/>
    </w:rPr>
  </w:style>
  <w:style w:type="paragraph" w:styleId="Berschrift">
    <w:name w:val="Überschrift"/>
    <w:basedOn w:val="Normal"/>
    <w:next w:val="Textkrper"/>
    <w:pPr>
      <w:keepNext/>
      <w:spacing w:before="240" w:after="120"/>
    </w:pPr>
    <w:rPr>
      <w:rFonts w:ascii="Akkurat-Light" w:hAnsi="Akkurat-Light" w:eastAsia="Arial Unicode MS" w:cs="Lucida Sans"/>
      <w:sz w:val="22"/>
      <w:szCs w:val="28"/>
    </w:rPr>
  </w:style>
  <w:style w:type="paragraph" w:styleId="Textkrper">
    <w:name w:val="Textkörper"/>
    <w:basedOn w:val="Normal"/>
    <w:pPr>
      <w:spacing w:lineRule="auto" w:line="288" w:before="0" w:after="140"/>
    </w:pPr>
    <w:rPr/>
  </w:style>
  <w:style w:type="paragraph" w:styleId="Liste">
    <w:name w:val="Liste"/>
    <w:basedOn w:val="Textkrper"/>
    <w:pPr/>
    <w:rPr>
      <w:rFonts w:ascii="Akkurat-Light" w:hAnsi="Akkurat-Light" w:cs="Lucida Sans"/>
    </w:rPr>
  </w:style>
  <w:style w:type="paragraph" w:styleId="Beschriftung">
    <w:name w:val="Beschriftung"/>
    <w:basedOn w:val="Normal"/>
    <w:pPr>
      <w:suppressLineNumbers/>
      <w:spacing w:before="120" w:after="120"/>
    </w:pPr>
    <w:rPr>
      <w:rFonts w:ascii="Akkurat-Light" w:hAnsi="Akkurat-Light" w:cs="Lucida Sans"/>
      <w:i/>
      <w:iCs/>
      <w:sz w:val="22"/>
      <w:szCs w:val="24"/>
    </w:rPr>
  </w:style>
  <w:style w:type="paragraph" w:styleId="Verzeichnis">
    <w:name w:val="Verzeichnis"/>
    <w:basedOn w:val="Normal"/>
    <w:pPr>
      <w:suppressLineNumbers/>
    </w:pPr>
    <w:rPr>
      <w:rFonts w:ascii="Akkurat-Light" w:hAnsi="Akkurat-Light" w:cs="Lucida Sans"/>
    </w:rPr>
  </w:style>
  <w:style w:type="paragraph" w:styleId="TabellenInhalt">
    <w:name w:val="Tabellen Inhalt"/>
    <w:basedOn w:val="Normal"/>
    <w:pPr>
      <w:suppressLineNumbers/>
    </w:pPr>
    <w:rPr/>
  </w:style>
  <w:style w:type="paragraph" w:styleId="Tabellenberschrift">
    <w:name w:val="Tabellen Überschrift"/>
    <w:basedOn w:val="TabellenInhal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LibreOffice/4.2.8.2$MacOSX_x86 LibreOffice_project/48d50dbfc06349262c9d50868e5c1f630a573ebd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2018-05-16T18:13:05Z</dcterms:created>
  <dc:language>de-DE</dc:language>
  <cp:revision>0</cp:revision>
</cp:coreProperties>
</file>